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bookmarkStart w:id="0" w:name="_GoBack"/>
      <w:bookmarkEnd w:id="0"/>
      <w:proofErr w:type="gramStart"/>
      <w:r w:rsidRPr="000B4F92">
        <w:rPr>
          <w:b/>
          <w:bCs/>
          <w:color w:val="261808"/>
          <w:sz w:val="28"/>
          <w:szCs w:val="28"/>
        </w:rPr>
        <w:t>«СУММА ПРОТИВ ЯЗЫЧНИКОВ»</w:t>
      </w:r>
      <w:r w:rsidRPr="000B4F92">
        <w:rPr>
          <w:color w:val="261808"/>
          <w:sz w:val="28"/>
          <w:szCs w:val="28"/>
        </w:rPr>
        <w:t>, полное название – «Книга об истине католической веры против язычников» (</w:t>
      </w:r>
      <w:proofErr w:type="spellStart"/>
      <w:r w:rsidRPr="000B4F92">
        <w:rPr>
          <w:color w:val="261808"/>
          <w:sz w:val="28"/>
          <w:szCs w:val="28"/>
        </w:rPr>
        <w:t>Liber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de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veritate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Catholicae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fidei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contra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errores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infidelium</w:t>
      </w:r>
      <w:proofErr w:type="spellEnd"/>
      <w:r w:rsidRPr="000B4F92">
        <w:rPr>
          <w:color w:val="261808"/>
          <w:sz w:val="28"/>
          <w:szCs w:val="28"/>
        </w:rPr>
        <w:t xml:space="preserve">, </w:t>
      </w:r>
      <w:proofErr w:type="spellStart"/>
      <w:r w:rsidRPr="000B4F92">
        <w:rPr>
          <w:color w:val="261808"/>
          <w:sz w:val="28"/>
          <w:szCs w:val="28"/>
        </w:rPr>
        <w:t>seu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Summa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contra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gentiles</w:t>
      </w:r>
      <w:proofErr w:type="spellEnd"/>
      <w:r w:rsidRPr="000B4F92">
        <w:rPr>
          <w:color w:val="261808"/>
          <w:sz w:val="28"/>
          <w:szCs w:val="28"/>
        </w:rPr>
        <w:t>), именуемая также «Суммой философии» («</w:t>
      </w:r>
      <w:proofErr w:type="spellStart"/>
      <w:r w:rsidRPr="000B4F92">
        <w:rPr>
          <w:color w:val="261808"/>
          <w:sz w:val="28"/>
          <w:szCs w:val="28"/>
        </w:rPr>
        <w:t>Summa</w:t>
      </w:r>
      <w:proofErr w:type="spellEnd"/>
      <w:r w:rsidRPr="000B4F92">
        <w:rPr>
          <w:color w:val="261808"/>
          <w:sz w:val="28"/>
          <w:szCs w:val="28"/>
        </w:rPr>
        <w:t xml:space="preserve"> </w:t>
      </w:r>
      <w:proofErr w:type="spellStart"/>
      <w:r w:rsidRPr="000B4F92">
        <w:rPr>
          <w:color w:val="261808"/>
          <w:sz w:val="28"/>
          <w:szCs w:val="28"/>
        </w:rPr>
        <w:t>Philosophiae</w:t>
      </w:r>
      <w:proofErr w:type="spellEnd"/>
      <w:r w:rsidRPr="000B4F92">
        <w:rPr>
          <w:color w:val="261808"/>
          <w:sz w:val="28"/>
          <w:szCs w:val="28"/>
        </w:rPr>
        <w:t>») – один из основных трудов</w:t>
      </w:r>
      <w:r w:rsidRPr="000B4F92">
        <w:rPr>
          <w:rStyle w:val="apple-converted-space"/>
          <w:color w:val="261808"/>
          <w:sz w:val="28"/>
          <w:szCs w:val="28"/>
        </w:rPr>
        <w:t> </w:t>
      </w:r>
      <w:hyperlink r:id="rId7" w:history="1">
        <w:r w:rsidRPr="000B4F92">
          <w:rPr>
            <w:rStyle w:val="a4"/>
            <w:b/>
            <w:bCs/>
            <w:iCs/>
            <w:color w:val="996600"/>
            <w:sz w:val="28"/>
            <w:szCs w:val="28"/>
            <w:u w:val="none"/>
          </w:rPr>
          <w:t>Фомы Аквинского</w:t>
        </w:r>
      </w:hyperlink>
      <w:r w:rsidRPr="000B4F92">
        <w:rPr>
          <w:color w:val="261808"/>
          <w:sz w:val="28"/>
          <w:szCs w:val="28"/>
        </w:rPr>
        <w:t>, написанный в Риме в 1259–64, был вызван к жизни происходящим активным интеллектуальным обменом между христианскими, мусульманскими и иудейскими мыслителями.</w:t>
      </w:r>
      <w:proofErr w:type="gramEnd"/>
      <w:r w:rsidRPr="000B4F92">
        <w:rPr>
          <w:color w:val="261808"/>
          <w:sz w:val="28"/>
          <w:szCs w:val="28"/>
        </w:rPr>
        <w:t xml:space="preserve"> Фома стремился здесь, исходя из философской (т.е. </w:t>
      </w:r>
      <w:proofErr w:type="spellStart"/>
      <w:r w:rsidRPr="000B4F92">
        <w:rPr>
          <w:color w:val="261808"/>
          <w:sz w:val="28"/>
          <w:szCs w:val="28"/>
        </w:rPr>
        <w:t>надконфессиональной</w:t>
      </w:r>
      <w:proofErr w:type="spellEnd"/>
      <w:r w:rsidRPr="000B4F92">
        <w:rPr>
          <w:color w:val="261808"/>
          <w:sz w:val="28"/>
          <w:szCs w:val="28"/>
        </w:rPr>
        <w:t xml:space="preserve">) позиции, защитить </w:t>
      </w:r>
      <w:proofErr w:type="spellStart"/>
      <w:r w:rsidRPr="000B4F92">
        <w:rPr>
          <w:color w:val="261808"/>
          <w:sz w:val="28"/>
          <w:szCs w:val="28"/>
        </w:rPr>
        <w:t>основоположения</w:t>
      </w:r>
      <w:proofErr w:type="spellEnd"/>
      <w:r w:rsidRPr="000B4F92">
        <w:rPr>
          <w:color w:val="261808"/>
          <w:sz w:val="28"/>
          <w:szCs w:val="28"/>
        </w:rPr>
        <w:t xml:space="preserve"> христианской веры. Этот обширный труд разделен на четыре книги: I. О Боге как таковом; II. O сотворении Богом различных регионов </w:t>
      </w:r>
      <w:proofErr w:type="gramStart"/>
      <w:r w:rsidRPr="000B4F92">
        <w:rPr>
          <w:color w:val="261808"/>
          <w:sz w:val="28"/>
          <w:szCs w:val="28"/>
        </w:rPr>
        <w:t>сущего</w:t>
      </w:r>
      <w:proofErr w:type="gramEnd"/>
      <w:r w:rsidRPr="000B4F92">
        <w:rPr>
          <w:color w:val="261808"/>
          <w:sz w:val="28"/>
          <w:szCs w:val="28"/>
        </w:rPr>
        <w:t>; III. О Боге как о цели всех творений; IV. О Боге, как Он дан в Его Откровении.</w:t>
      </w:r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 xml:space="preserve">В кн. I Фома, следуя Аристотелю, полагает, что изучать сущее – главный предмет метафизики – невозможно без раскрытия первопричины сущего, которой и является Бог. Фома начинает свой труд (гл. 1–9) с обоснования возможности исследования теологических вопросов при помощи разума и утверждает </w:t>
      </w:r>
      <w:r w:rsidRPr="004F0F78">
        <w:rPr>
          <w:b/>
          <w:i/>
          <w:color w:val="261808"/>
          <w:sz w:val="28"/>
          <w:szCs w:val="28"/>
        </w:rPr>
        <w:t>единство веры и разума</w:t>
      </w:r>
      <w:r w:rsidRPr="000B4F92">
        <w:rPr>
          <w:color w:val="261808"/>
          <w:sz w:val="28"/>
          <w:szCs w:val="28"/>
        </w:rPr>
        <w:t>. Критикуя онтологическое доказательство существования Бога (</w:t>
      </w:r>
      <w:hyperlink r:id="rId8" w:history="1">
        <w:r w:rsidRPr="004F0F78">
          <w:rPr>
            <w:rStyle w:val="a4"/>
            <w:b/>
            <w:bCs/>
            <w:iCs/>
            <w:color w:val="auto"/>
            <w:sz w:val="28"/>
            <w:szCs w:val="28"/>
            <w:u w:val="none"/>
          </w:rPr>
          <w:t>Ансельм Кентерберийский</w:t>
        </w:r>
      </w:hyperlink>
      <w:r w:rsidRPr="000B4F92">
        <w:rPr>
          <w:color w:val="261808"/>
          <w:sz w:val="28"/>
          <w:szCs w:val="28"/>
        </w:rPr>
        <w:t xml:space="preserve">), Фома излагает знаменитые пять путей-доказательств существования Бога «от следствия», т.е. от особенностей эмпирически познаваемого мироустройства (гл. 10–13). </w:t>
      </w:r>
      <w:proofErr w:type="gramStart"/>
      <w:r w:rsidRPr="000B4F92">
        <w:rPr>
          <w:color w:val="261808"/>
          <w:sz w:val="28"/>
          <w:szCs w:val="28"/>
        </w:rPr>
        <w:t xml:space="preserve">Далее исследуются </w:t>
      </w:r>
      <w:r w:rsidRPr="004F0F78">
        <w:rPr>
          <w:b/>
          <w:i/>
          <w:color w:val="261808"/>
          <w:sz w:val="28"/>
          <w:szCs w:val="28"/>
        </w:rPr>
        <w:t>свойства</w:t>
      </w:r>
      <w:r w:rsidRPr="000B4F92">
        <w:rPr>
          <w:color w:val="261808"/>
          <w:sz w:val="28"/>
          <w:szCs w:val="28"/>
        </w:rPr>
        <w:t xml:space="preserve">, присущие Богу, – </w:t>
      </w:r>
      <w:r w:rsidRPr="004F0F78">
        <w:rPr>
          <w:b/>
          <w:i/>
          <w:color w:val="261808"/>
          <w:sz w:val="28"/>
          <w:szCs w:val="28"/>
        </w:rPr>
        <w:t>вечность, актуальность, простота, бестелесность, совпадение сущности и существования</w:t>
      </w:r>
      <w:r w:rsidRPr="000B4F92">
        <w:rPr>
          <w:color w:val="261808"/>
          <w:sz w:val="28"/>
          <w:szCs w:val="28"/>
        </w:rPr>
        <w:t xml:space="preserve"> и др.; Бог, как наивысшая истина, познает все, в т. ч. индивидуальные и случайные события (гл. 44–71), и в соответствии со своей благой и свободной волей желает сотворения мира (гл. 72–88).</w:t>
      </w:r>
      <w:proofErr w:type="gramEnd"/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 xml:space="preserve">Кн. II посвящена одному из центральных постулатов христианской веры – свободному сотворению мира из ничего и раскрывает всемогущество и креативность Бога (гл. 6–29). Важными темами этой части являются также опровержение постулата о вечности мира и утверждение необходимости его начала (гл. 31–38), необходимости многообразия мира для его совершенства, и особенно наличие интеллектуальных субстанций, наделенных свободной волей и бессмертных (гл. 41–55). Особое внимание уделяется человеческой душе, трактуемой как форма тела, а не как сущность, пользующаяся телом, согласно платоникам и </w:t>
      </w:r>
      <w:proofErr w:type="spellStart"/>
      <w:r w:rsidRPr="000B4F92">
        <w:rPr>
          <w:color w:val="261808"/>
          <w:sz w:val="28"/>
          <w:szCs w:val="28"/>
        </w:rPr>
        <w:t>августинианцам</w:t>
      </w:r>
      <w:proofErr w:type="spellEnd"/>
      <w:r w:rsidRPr="000B4F92">
        <w:rPr>
          <w:color w:val="261808"/>
          <w:sz w:val="28"/>
          <w:szCs w:val="28"/>
        </w:rPr>
        <w:t xml:space="preserve"> (гл. 56–89). Полемизируя с </w:t>
      </w:r>
      <w:proofErr w:type="spellStart"/>
      <w:r w:rsidRPr="000B4F92">
        <w:rPr>
          <w:color w:val="261808"/>
          <w:sz w:val="28"/>
          <w:szCs w:val="28"/>
        </w:rPr>
        <w:t>аверроистами</w:t>
      </w:r>
      <w:proofErr w:type="spellEnd"/>
      <w:r w:rsidRPr="000B4F92">
        <w:rPr>
          <w:color w:val="261808"/>
          <w:sz w:val="28"/>
          <w:szCs w:val="28"/>
        </w:rPr>
        <w:t xml:space="preserve">, Фома утверждает сотворение каждой индивидуальной </w:t>
      </w:r>
      <w:r w:rsidRPr="004F0F78">
        <w:rPr>
          <w:b/>
          <w:i/>
          <w:color w:val="261808"/>
          <w:sz w:val="28"/>
          <w:szCs w:val="28"/>
        </w:rPr>
        <w:t>души</w:t>
      </w:r>
      <w:r w:rsidRPr="000B4F92">
        <w:rPr>
          <w:color w:val="261808"/>
          <w:sz w:val="28"/>
          <w:szCs w:val="28"/>
        </w:rPr>
        <w:t xml:space="preserve"> и ее</w:t>
      </w:r>
      <w:r w:rsidRPr="004F0F78">
        <w:rPr>
          <w:b/>
          <w:i/>
          <w:color w:val="261808"/>
          <w:sz w:val="28"/>
          <w:szCs w:val="28"/>
        </w:rPr>
        <w:t xml:space="preserve"> бессмертие</w:t>
      </w:r>
      <w:r w:rsidRPr="000B4F92">
        <w:rPr>
          <w:color w:val="261808"/>
          <w:sz w:val="28"/>
          <w:szCs w:val="28"/>
        </w:rPr>
        <w:t>. Книга завершается учением об интеллигенциях, не связанных с телом (гл. 91–101).</w:t>
      </w:r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 xml:space="preserve">Кн. III, посвященная этической проблематике, начинается с обоснования того, что каждый </w:t>
      </w:r>
      <w:r w:rsidRPr="0018691A">
        <w:rPr>
          <w:b/>
          <w:i/>
          <w:color w:val="261808"/>
          <w:sz w:val="28"/>
          <w:szCs w:val="28"/>
        </w:rPr>
        <w:t>деятельно стремится к цели</w:t>
      </w:r>
      <w:r w:rsidRPr="000B4F92">
        <w:rPr>
          <w:color w:val="261808"/>
          <w:sz w:val="28"/>
          <w:szCs w:val="28"/>
        </w:rPr>
        <w:t xml:space="preserve">, причем благой (гл. 2–3), поскольку зло не есть нечто самостоятельно сущее, но только </w:t>
      </w:r>
      <w:proofErr w:type="spellStart"/>
      <w:r w:rsidRPr="000B4F92">
        <w:rPr>
          <w:color w:val="261808"/>
          <w:sz w:val="28"/>
          <w:szCs w:val="28"/>
        </w:rPr>
        <w:t>лишенность</w:t>
      </w:r>
      <w:proofErr w:type="spellEnd"/>
      <w:r w:rsidRPr="000B4F92">
        <w:rPr>
          <w:color w:val="261808"/>
          <w:sz w:val="28"/>
          <w:szCs w:val="28"/>
        </w:rPr>
        <w:t xml:space="preserve"> блага (гл. 4–15). Наивысшим же благом является Бог, и никакие цели в земной жизни (богатство, слава) не могут дать совершенного счастья, каковым является созерцание Бога (гл. 16–63). Далее Фома обращается к </w:t>
      </w:r>
      <w:r w:rsidRPr="000B4F92">
        <w:rPr>
          <w:color w:val="261808"/>
          <w:sz w:val="28"/>
          <w:szCs w:val="28"/>
        </w:rPr>
        <w:lastRenderedPageBreak/>
        <w:t xml:space="preserve">земной жизни, управляемой божественным провидением, которое не исключает возможности существования вторичных причин, действующих по </w:t>
      </w:r>
      <w:r w:rsidRPr="0018691A">
        <w:rPr>
          <w:b/>
          <w:i/>
          <w:color w:val="261808"/>
          <w:sz w:val="28"/>
          <w:szCs w:val="28"/>
        </w:rPr>
        <w:t>своей воле, в соответствии со свободным выбором</w:t>
      </w:r>
      <w:r w:rsidRPr="000B4F92">
        <w:rPr>
          <w:color w:val="261808"/>
          <w:sz w:val="28"/>
          <w:szCs w:val="28"/>
        </w:rPr>
        <w:t xml:space="preserve"> (гл. 64–93), что приводит к свершению ими злых и благих деяний. Это создает необходимость в божественном законе (гл. 114–118), который направляет человека не только к праведной духовной жизни, но и к правильному использованию телесных вещей (гл. 121</w:t>
      </w:r>
      <w:proofErr w:type="gramStart"/>
      <w:r w:rsidRPr="000B4F92">
        <w:rPr>
          <w:color w:val="261808"/>
          <w:sz w:val="28"/>
          <w:szCs w:val="28"/>
        </w:rPr>
        <w:t xml:space="preserve"> )</w:t>
      </w:r>
      <w:proofErr w:type="gramEnd"/>
      <w:r w:rsidRPr="000B4F92">
        <w:rPr>
          <w:color w:val="261808"/>
          <w:sz w:val="28"/>
          <w:szCs w:val="28"/>
        </w:rPr>
        <w:t xml:space="preserve">. </w:t>
      </w:r>
      <w:proofErr w:type="gramStart"/>
      <w:r w:rsidRPr="000B4F92">
        <w:rPr>
          <w:color w:val="261808"/>
          <w:sz w:val="28"/>
          <w:szCs w:val="28"/>
        </w:rPr>
        <w:t>Фома довольно подробно останавливается на некоторых частных проблемах, таких, как сексуальные отношения (гл. 122–126) или практика добровольной бедности (гл. 132–136), а завершает книгу учениями о различных видах благих и злых деяний и соответственно о различии воздаяния от Бога (гл. 140–147), о необходимости божественной благодати для оказания помощи человеку на пути к благу (гл. 148–161) и о божественном предопределении (гл. 162–164).</w:t>
      </w:r>
      <w:proofErr w:type="gramEnd"/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 xml:space="preserve">Кн. IV </w:t>
      </w:r>
      <w:proofErr w:type="gramStart"/>
      <w:r w:rsidRPr="000B4F92">
        <w:rPr>
          <w:color w:val="261808"/>
          <w:sz w:val="28"/>
          <w:szCs w:val="28"/>
        </w:rPr>
        <w:t>посвящена</w:t>
      </w:r>
      <w:proofErr w:type="gramEnd"/>
      <w:r w:rsidRPr="000B4F92">
        <w:rPr>
          <w:color w:val="261808"/>
          <w:sz w:val="28"/>
          <w:szCs w:val="28"/>
        </w:rPr>
        <w:t xml:space="preserve"> «истинам Откровения», которые не могут быть выработаны в рамках естественной теологии, однако Фома считает возможным обсуждать с позиции разума и их. Таковы истины о единстве трех Лиц – Отца, Сына и</w:t>
      </w:r>
      <w:proofErr w:type="gramStart"/>
      <w:r w:rsidRPr="000B4F92">
        <w:rPr>
          <w:color w:val="261808"/>
          <w:sz w:val="28"/>
          <w:szCs w:val="28"/>
        </w:rPr>
        <w:t xml:space="preserve"> С</w:t>
      </w:r>
      <w:proofErr w:type="gramEnd"/>
      <w:r w:rsidRPr="000B4F92">
        <w:rPr>
          <w:color w:val="261808"/>
          <w:sz w:val="28"/>
          <w:szCs w:val="28"/>
        </w:rPr>
        <w:t xml:space="preserve">в. Духа при сохранении их различий (Фома полемизирует с еретическими взглядами </w:t>
      </w:r>
      <w:proofErr w:type="spellStart"/>
      <w:r w:rsidRPr="000B4F92">
        <w:rPr>
          <w:color w:val="261808"/>
          <w:sz w:val="28"/>
          <w:szCs w:val="28"/>
        </w:rPr>
        <w:t>ариан</w:t>
      </w:r>
      <w:proofErr w:type="spellEnd"/>
      <w:r w:rsidRPr="000B4F92">
        <w:rPr>
          <w:color w:val="261808"/>
          <w:sz w:val="28"/>
          <w:szCs w:val="28"/>
        </w:rPr>
        <w:t>, манихеев и др.) (гл. 2–38), о воплощении Сына (гл. 39–55), о первородном грехе, о необходимости таинств (крещения, причащения и др.) и порядке их отправления (гл. 56–78), о воскрешении человека во плоти (гл. 79–89) и о Страшном Суде (гл. 96–97).</w:t>
      </w:r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>Во многих исследованиях и в получивших большое распространение в кон. 19 – нач. 20 в. пособиях по изучению томизма философия Фомы зачастую излагается по более знаменитой</w:t>
      </w:r>
      <w:r w:rsidRPr="000B4F92">
        <w:rPr>
          <w:rStyle w:val="apple-converted-space"/>
          <w:color w:val="261808"/>
          <w:sz w:val="28"/>
          <w:szCs w:val="28"/>
        </w:rPr>
        <w:t> </w:t>
      </w:r>
      <w:r w:rsidRPr="000B4F92">
        <w:rPr>
          <w:b/>
          <w:bCs/>
          <w:iCs/>
          <w:color w:val="261808"/>
          <w:sz w:val="28"/>
          <w:szCs w:val="28"/>
        </w:rPr>
        <w:t>«Сумме теологии»</w:t>
      </w:r>
      <w:r w:rsidRPr="000B4F92">
        <w:rPr>
          <w:color w:val="261808"/>
          <w:sz w:val="28"/>
          <w:szCs w:val="28"/>
        </w:rPr>
        <w:t xml:space="preserve">, в то время как сравнительно рано написанная «Сумма против язычников» привлекается в качестве иллюстративного материала. </w:t>
      </w:r>
      <w:proofErr w:type="gramStart"/>
      <w:r w:rsidRPr="000B4F92">
        <w:rPr>
          <w:color w:val="261808"/>
          <w:sz w:val="28"/>
          <w:szCs w:val="28"/>
        </w:rPr>
        <w:t xml:space="preserve">Однако «Сумма против язычников» превосходит «Сумму теологии» по глубине разработки и степени </w:t>
      </w:r>
      <w:proofErr w:type="spellStart"/>
      <w:r w:rsidRPr="000B4F92">
        <w:rPr>
          <w:color w:val="261808"/>
          <w:sz w:val="28"/>
          <w:szCs w:val="28"/>
        </w:rPr>
        <w:t>проблематизации</w:t>
      </w:r>
      <w:proofErr w:type="spellEnd"/>
      <w:r w:rsidRPr="000B4F92">
        <w:rPr>
          <w:color w:val="261808"/>
          <w:sz w:val="28"/>
          <w:szCs w:val="28"/>
        </w:rPr>
        <w:t xml:space="preserve"> сходных вопросов – так, если многократно воспроизведенное во всех учебниках по средневековой философии изложение «пяти путей» из «Суммы теологии» зачастую не производит впечатления строгого доказательства ввиду принятия недоказанной посылки – утверждения о невозможности регресса в бесконечность, то в параллельном месте «Суммы против язычников» Фома уделяет много внимания именно доказательству</w:t>
      </w:r>
      <w:proofErr w:type="gramEnd"/>
      <w:r w:rsidRPr="000B4F92">
        <w:rPr>
          <w:color w:val="261808"/>
          <w:sz w:val="28"/>
          <w:szCs w:val="28"/>
        </w:rPr>
        <w:t xml:space="preserve"> этого положения.</w:t>
      </w:r>
    </w:p>
    <w:p w:rsidR="00BC57AA" w:rsidRPr="000B4F92" w:rsidRDefault="00BC57AA" w:rsidP="004F0F78">
      <w:pPr>
        <w:pStyle w:val="a3"/>
        <w:spacing w:before="0" w:beforeAutospacing="0" w:after="0" w:afterAutospacing="0" w:line="285" w:lineRule="atLeast"/>
        <w:ind w:firstLine="709"/>
        <w:rPr>
          <w:color w:val="261808"/>
          <w:sz w:val="28"/>
          <w:szCs w:val="28"/>
        </w:rPr>
      </w:pPr>
      <w:r w:rsidRPr="000B4F92">
        <w:rPr>
          <w:color w:val="261808"/>
          <w:sz w:val="28"/>
          <w:szCs w:val="28"/>
        </w:rPr>
        <w:t>Имеется большое число изданий «Суммы против язычников», из которых наиболее значительные – в рамках полных собраний сочинений – в издании «</w:t>
      </w:r>
      <w:proofErr w:type="spellStart"/>
      <w:r w:rsidRPr="000B4F92">
        <w:rPr>
          <w:color w:val="261808"/>
          <w:sz w:val="28"/>
          <w:szCs w:val="28"/>
        </w:rPr>
        <w:t>Piana</w:t>
      </w:r>
      <w:proofErr w:type="spellEnd"/>
      <w:r w:rsidRPr="000B4F92">
        <w:rPr>
          <w:color w:val="261808"/>
          <w:sz w:val="28"/>
          <w:szCs w:val="28"/>
        </w:rPr>
        <w:t>», начатом в Риме, в 1570, по повелению папы Пия V, и в «</w:t>
      </w:r>
      <w:proofErr w:type="spellStart"/>
      <w:r w:rsidRPr="000B4F92">
        <w:rPr>
          <w:color w:val="261808"/>
          <w:sz w:val="28"/>
          <w:szCs w:val="28"/>
        </w:rPr>
        <w:t>Leonina</w:t>
      </w:r>
      <w:proofErr w:type="spellEnd"/>
      <w:r w:rsidRPr="000B4F92">
        <w:rPr>
          <w:color w:val="261808"/>
          <w:sz w:val="28"/>
          <w:szCs w:val="28"/>
        </w:rPr>
        <w:t xml:space="preserve">» (Рим, с 1882, по повелению Льва XIII). Последнее сопровождено ставшим классическим комментарием </w:t>
      </w:r>
      <w:proofErr w:type="spellStart"/>
      <w:r w:rsidRPr="000B4F92">
        <w:rPr>
          <w:color w:val="261808"/>
          <w:sz w:val="28"/>
          <w:szCs w:val="28"/>
        </w:rPr>
        <w:t>Ф.Сильвестра</w:t>
      </w:r>
      <w:proofErr w:type="spellEnd"/>
      <w:r w:rsidRPr="000B4F92">
        <w:rPr>
          <w:color w:val="261808"/>
          <w:sz w:val="28"/>
          <w:szCs w:val="28"/>
        </w:rPr>
        <w:t>, выполненным в XVI в.</w:t>
      </w:r>
    </w:p>
    <w:p w:rsidR="007E503B" w:rsidRPr="000B4F92" w:rsidRDefault="007E503B" w:rsidP="004F0F78">
      <w:pPr>
        <w:ind w:firstLine="709"/>
      </w:pPr>
    </w:p>
    <w:sectPr w:rsidR="007E503B" w:rsidRPr="000B4F9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73" w:rsidRDefault="00CB6873" w:rsidP="00D26C2D">
      <w:pPr>
        <w:spacing w:after="0" w:line="240" w:lineRule="auto"/>
      </w:pPr>
      <w:r>
        <w:separator/>
      </w:r>
    </w:p>
  </w:endnote>
  <w:endnote w:type="continuationSeparator" w:id="0">
    <w:p w:rsidR="00CB6873" w:rsidRDefault="00CB6873" w:rsidP="00D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980678"/>
      <w:docPartObj>
        <w:docPartGallery w:val="Page Numbers (Bottom of Page)"/>
        <w:docPartUnique/>
      </w:docPartObj>
    </w:sdtPr>
    <w:sdtContent>
      <w:p w:rsidR="00D26C2D" w:rsidRDefault="00D26C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26C2D" w:rsidRDefault="00D26C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73" w:rsidRDefault="00CB6873" w:rsidP="00D26C2D">
      <w:pPr>
        <w:spacing w:after="0" w:line="240" w:lineRule="auto"/>
      </w:pPr>
      <w:r>
        <w:separator/>
      </w:r>
    </w:p>
  </w:footnote>
  <w:footnote w:type="continuationSeparator" w:id="0">
    <w:p w:rsidR="00CB6873" w:rsidRDefault="00CB6873" w:rsidP="00D26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7AA"/>
    <w:rsid w:val="000B4F92"/>
    <w:rsid w:val="0018691A"/>
    <w:rsid w:val="002A7641"/>
    <w:rsid w:val="00301918"/>
    <w:rsid w:val="00413A81"/>
    <w:rsid w:val="004A0159"/>
    <w:rsid w:val="004F0F78"/>
    <w:rsid w:val="007E503B"/>
    <w:rsid w:val="00BC57AA"/>
    <w:rsid w:val="00CB6873"/>
    <w:rsid w:val="00D26C2D"/>
    <w:rsid w:val="00E81CA9"/>
    <w:rsid w:val="00E95EF0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57AA"/>
  </w:style>
  <w:style w:type="character" w:styleId="a4">
    <w:name w:val="Hyperlink"/>
    <w:basedOn w:val="a0"/>
    <w:uiPriority w:val="99"/>
    <w:semiHidden/>
    <w:unhideWhenUsed/>
    <w:rsid w:val="00BC57A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2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6C2D"/>
  </w:style>
  <w:style w:type="paragraph" w:styleId="a7">
    <w:name w:val="footer"/>
    <w:basedOn w:val="a"/>
    <w:link w:val="a8"/>
    <w:uiPriority w:val="99"/>
    <w:unhideWhenUsed/>
    <w:rsid w:val="00D2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6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h.ras.ru/elib/018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ph.ras.ru/elib/3248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Links>
    <vt:vector size="12" baseType="variant">
      <vt:variant>
        <vt:i4>4587593</vt:i4>
      </vt:variant>
      <vt:variant>
        <vt:i4>3</vt:i4>
      </vt:variant>
      <vt:variant>
        <vt:i4>0</vt:i4>
      </vt:variant>
      <vt:variant>
        <vt:i4>5</vt:i4>
      </vt:variant>
      <vt:variant>
        <vt:lpwstr>http://iph.ras.ru/elib/0183.html</vt:lpwstr>
      </vt:variant>
      <vt:variant>
        <vt:lpwstr/>
      </vt:variant>
      <vt:variant>
        <vt:i4>4784193</vt:i4>
      </vt:variant>
      <vt:variant>
        <vt:i4>0</vt:i4>
      </vt:variant>
      <vt:variant>
        <vt:i4>0</vt:i4>
      </vt:variant>
      <vt:variant>
        <vt:i4>5</vt:i4>
      </vt:variant>
      <vt:variant>
        <vt:lpwstr>http://iph.ras.ru/elib/3248.html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ASUS</cp:lastModifiedBy>
  <cp:revision>9</cp:revision>
  <dcterms:created xsi:type="dcterms:W3CDTF">2015-04-14T18:02:00Z</dcterms:created>
  <dcterms:modified xsi:type="dcterms:W3CDTF">2016-01-08T14:10:00Z</dcterms:modified>
</cp:coreProperties>
</file>